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697F60">
        <w:rPr>
          <w:rFonts w:ascii="Arial" w:eastAsia="Arial Unicode MS" w:hAnsi="Arial"/>
          <w:b/>
          <w:bCs/>
          <w:kern w:val="0"/>
          <w:sz w:val="28"/>
          <w:szCs w:val="28"/>
        </w:rPr>
        <w:t>2</w:t>
      </w:r>
      <w:r w:rsidR="00485574">
        <w:rPr>
          <w:rFonts w:ascii="Arial" w:eastAsia="Arial Unicode MS" w:hAnsi="Arial"/>
          <w:b/>
          <w:bCs/>
          <w:kern w:val="0"/>
          <w:sz w:val="28"/>
          <w:szCs w:val="28"/>
        </w:rPr>
        <w:t>0</w:t>
      </w:r>
      <w:r w:rsidR="00824222" w:rsidRPr="00824222">
        <w:rPr>
          <w:rFonts w:ascii="Arial" w:eastAsia="Arial Unicode MS" w:hAnsi="Arial"/>
          <w:b/>
          <w:bCs/>
          <w:kern w:val="0"/>
          <w:sz w:val="28"/>
          <w:szCs w:val="28"/>
        </w:rPr>
        <w:t>7498</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6B2E48">
        <w:rPr>
          <w:rFonts w:ascii="Arial" w:eastAsia="Arial Unicode MS" w:hAnsi="Arial"/>
          <w:b/>
          <w:bCs/>
          <w:kern w:val="0"/>
          <w:sz w:val="24"/>
          <w:szCs w:val="20"/>
        </w:rPr>
        <w:t>26</w:t>
      </w:r>
      <w:r w:rsidR="00EB0333">
        <w:rPr>
          <w:rFonts w:ascii="Arial" w:eastAsia="Arial Unicode MS" w:hAnsi="Arial"/>
          <w:b/>
          <w:bCs/>
          <w:kern w:val="0"/>
          <w:sz w:val="24"/>
          <w:szCs w:val="20"/>
        </w:rPr>
        <w:t xml:space="preserve"> </w:t>
      </w:r>
      <w:r w:rsidR="006B2E48">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7C0F96" w:rsidRPr="007C0F96">
        <w:rPr>
          <w:rFonts w:ascii="Arial" w:eastAsia="Arial Unicode MS" w:hAnsi="Arial" w:cs="Arial"/>
          <w:b/>
          <w:bCs/>
          <w:kern w:val="0"/>
          <w:sz w:val="24"/>
          <w:szCs w:val="20"/>
        </w:rPr>
        <w:t>8.4.3</w:t>
      </w:r>
      <w:r w:rsidR="007C0F96" w:rsidRPr="007C0F96">
        <w:rPr>
          <w:rFonts w:ascii="Arial" w:eastAsia="Arial Unicode MS" w:hAnsi="Arial" w:cs="Arial"/>
          <w:b/>
          <w:bCs/>
          <w:kern w:val="0"/>
          <w:sz w:val="24"/>
          <w:szCs w:val="20"/>
        </w:rPr>
        <w:tab/>
        <w:t>NR-DC with selective activation cell of groups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7C0F96" w:rsidRPr="007C0F96">
        <w:rPr>
          <w:rFonts w:ascii="Arial" w:eastAsia="Arial Unicode MS" w:hAnsi="Arial" w:cs="Arial"/>
          <w:b/>
          <w:bCs/>
          <w:kern w:val="0"/>
          <w:sz w:val="24"/>
          <w:szCs w:val="20"/>
        </w:rPr>
        <w:t>Overview of selective CG 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13559B" w:rsidRDefault="0013559B" w:rsidP="0013559B">
      <w:pPr>
        <w:widowControl/>
        <w:rPr>
          <w:rFonts w:ascii="Arial" w:eastAsia="Arial Unicode MS" w:hAnsi="Arial"/>
          <w:kern w:val="0"/>
          <w:sz w:val="20"/>
          <w:szCs w:val="20"/>
        </w:rPr>
      </w:pPr>
      <w:r>
        <w:rPr>
          <w:rFonts w:ascii="Arial" w:eastAsia="Arial Unicode MS" w:hAnsi="Arial"/>
          <w:kern w:val="0"/>
          <w:sz w:val="20"/>
          <w:szCs w:val="20"/>
        </w:rPr>
        <w:t xml:space="preserve">The WID has the following objectives for NR-DC with selective activation </w:t>
      </w:r>
      <w:r w:rsidR="00044ABA">
        <w:rPr>
          <w:rFonts w:ascii="Arial" w:eastAsia="Arial Unicode MS" w:hAnsi="Arial"/>
          <w:kern w:val="0"/>
          <w:sz w:val="20"/>
          <w:szCs w:val="20"/>
        </w:rPr>
        <w:t xml:space="preserve">of CGs </w:t>
      </w:r>
      <w:r>
        <w:rPr>
          <w:rFonts w:ascii="Arial" w:eastAsia="Arial Unicode MS" w:hAnsi="Arial"/>
          <w:kern w:val="0"/>
          <w:sz w:val="20"/>
          <w:szCs w:val="20"/>
        </w:rPr>
        <w:t xml:space="preserve">[1]. </w:t>
      </w:r>
    </w:p>
    <w:p w:rsidR="0013559B" w:rsidRDefault="0013559B" w:rsidP="0013559B">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13559B" w:rsidTr="0095484D">
        <w:tc>
          <w:tcPr>
            <w:tcW w:w="9629" w:type="dxa"/>
          </w:tcPr>
          <w:p w:rsidR="0013559B" w:rsidRPr="0013559B" w:rsidRDefault="0013559B" w:rsidP="0013559B">
            <w:pPr>
              <w:numPr>
                <w:ilvl w:val="0"/>
                <w:numId w:val="4"/>
              </w:numPr>
              <w:rPr>
                <w:rFonts w:ascii="Calibri" w:eastAsia="PMingLiU" w:hAnsi="Calibri" w:cs="Times New Roman"/>
                <w:bCs/>
                <w:lang w:val="en-US"/>
              </w:rPr>
            </w:pPr>
            <w:r w:rsidRPr="0013559B">
              <w:rPr>
                <w:rFonts w:ascii="Calibri" w:eastAsia="PMingLiU" w:hAnsi="Calibri" w:cs="Times New Roman"/>
                <w:bCs/>
                <w:lang w:val="en-US"/>
              </w:rPr>
              <w:t>To specify mechanism and procedures of NR-DC with selective activation of the cell groups (at least for SCG) via L3 enhancements:</w:t>
            </w:r>
          </w:p>
          <w:p w:rsidR="0013559B" w:rsidRPr="0013559B" w:rsidRDefault="0013559B" w:rsidP="0013559B">
            <w:pPr>
              <w:numPr>
                <w:ilvl w:val="0"/>
                <w:numId w:val="5"/>
              </w:numPr>
              <w:rPr>
                <w:rFonts w:ascii="Calibri" w:eastAsia="PMingLiU" w:hAnsi="Calibri" w:cs="Times New Roman"/>
                <w:bCs/>
                <w:lang w:val="en-US"/>
              </w:rPr>
            </w:pPr>
            <w:r w:rsidRPr="0013559B">
              <w:rPr>
                <w:rFonts w:ascii="Calibri" w:eastAsia="PMingLiU" w:hAnsi="Calibri" w:cs="Times New Roman"/>
                <w:bCs/>
                <w:lang w:val="en-US"/>
              </w:rPr>
              <w:t>To allow subsequent cell group change after changing CG without reconfiguration and re-initiation of CPC/CPA [RAN2, RAN3, RAN4]</w:t>
            </w:r>
          </w:p>
          <w:p w:rsidR="0013559B" w:rsidRPr="0013559B" w:rsidRDefault="0013559B" w:rsidP="0013559B">
            <w:pPr>
              <w:ind w:left="720"/>
              <w:rPr>
                <w:rFonts w:ascii="Calibri" w:hAnsi="Calibri" w:cs="Times New Roman"/>
                <w:bCs/>
                <w:i/>
                <w:lang w:val="en-US"/>
              </w:rPr>
            </w:pPr>
            <w:r w:rsidRPr="0013559B">
              <w:rPr>
                <w:rFonts w:ascii="Calibri" w:eastAsia="PMingLiU" w:hAnsi="Calibri" w:cs="Times New Roman"/>
                <w:bCs/>
                <w:i/>
                <w:lang w:val="en-US"/>
              </w:rPr>
              <w:t>Note 4: A harmonized</w:t>
            </w:r>
            <w:r w:rsidRPr="0013559B">
              <w:rPr>
                <w:rFonts w:ascii="Calibri" w:eastAsia="PMingLiU" w:hAnsi="Calibri" w:cs="Times New Roman"/>
                <w:i/>
                <w:iCs/>
                <w:lang w:val="en-US"/>
              </w:rPr>
              <w:t xml:space="preserve"> RRC modelling approach for objectives 1 and 2 could be considered to minimize the workload in RAN2.</w:t>
            </w:r>
          </w:p>
        </w:tc>
      </w:tr>
    </w:tbl>
    <w:p w:rsidR="0013559B" w:rsidRDefault="0013559B" w:rsidP="0013559B">
      <w:pPr>
        <w:widowControl/>
        <w:rPr>
          <w:rFonts w:ascii="Arial" w:eastAsia="Arial Unicode MS" w:hAnsi="Arial"/>
          <w:kern w:val="0"/>
          <w:sz w:val="20"/>
          <w:szCs w:val="20"/>
        </w:rPr>
      </w:pPr>
    </w:p>
    <w:p w:rsidR="000A356D" w:rsidRDefault="0013559B"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potential scenarios and </w:t>
      </w:r>
      <w:r w:rsidR="00062BAC">
        <w:rPr>
          <w:rFonts w:ascii="Arial" w:eastAsia="Arial Unicode MS" w:hAnsi="Arial"/>
          <w:kern w:val="0"/>
          <w:sz w:val="20"/>
          <w:szCs w:val="20"/>
        </w:rPr>
        <w:t>expected overview of selective activation of CGs.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461A8" w:rsidRPr="002C6C08" w:rsidRDefault="001461A8" w:rsidP="001461A8">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Pr>
          <w:rFonts w:ascii="Arial" w:hAnsi="Arial"/>
          <w:kern w:val="0"/>
          <w:sz w:val="28"/>
          <w:szCs w:val="20"/>
        </w:rPr>
        <w:t>Target scenarios</w:t>
      </w:r>
    </w:p>
    <w:p w:rsidR="003E16F6" w:rsidRPr="002C6C08" w:rsidRDefault="002B1203" w:rsidP="003E16F6">
      <w:pPr>
        <w:widowControl/>
        <w:spacing w:after="120" w:line="240" w:lineRule="atLeast"/>
        <w:rPr>
          <w:rFonts w:ascii="Arial" w:hAnsi="Arial"/>
          <w:kern w:val="0"/>
          <w:sz w:val="20"/>
          <w:szCs w:val="20"/>
        </w:rPr>
      </w:pPr>
      <w:r>
        <w:rPr>
          <w:rFonts w:ascii="Arial" w:hAnsi="Arial"/>
          <w:kern w:val="0"/>
          <w:sz w:val="20"/>
          <w:szCs w:val="20"/>
        </w:rPr>
        <w:t xml:space="preserve">As per the objectives, it is clear that the selective activation of the cell </w:t>
      </w:r>
      <w:r w:rsidR="00473A34">
        <w:rPr>
          <w:rFonts w:ascii="Arial" w:hAnsi="Arial"/>
          <w:kern w:val="0"/>
          <w:sz w:val="20"/>
          <w:szCs w:val="20"/>
        </w:rPr>
        <w:t xml:space="preserve">groups is intended </w:t>
      </w:r>
      <w:r>
        <w:rPr>
          <w:rFonts w:ascii="Arial" w:hAnsi="Arial"/>
          <w:kern w:val="0"/>
          <w:sz w:val="20"/>
          <w:szCs w:val="20"/>
        </w:rPr>
        <w:t>at least for SCG. We firstly focus on the possible scenarios for selective activation of SCG.</w:t>
      </w:r>
    </w:p>
    <w:p w:rsidR="00511192" w:rsidRDefault="00D31D23" w:rsidP="003E16F6">
      <w:pPr>
        <w:widowControl/>
        <w:spacing w:after="120" w:line="240" w:lineRule="atLeast"/>
        <w:rPr>
          <w:rFonts w:ascii="Arial" w:hAnsi="Arial"/>
          <w:kern w:val="0"/>
          <w:sz w:val="20"/>
          <w:szCs w:val="20"/>
        </w:rPr>
      </w:pPr>
      <w:r>
        <w:rPr>
          <w:rFonts w:ascii="Arial" w:hAnsi="Arial" w:hint="eastAsia"/>
          <w:kern w:val="0"/>
          <w:sz w:val="20"/>
          <w:szCs w:val="20"/>
        </w:rPr>
        <w:t>I</w:t>
      </w:r>
      <w:r w:rsidR="009977A1">
        <w:rPr>
          <w:rFonts w:ascii="Arial" w:hAnsi="Arial"/>
          <w:kern w:val="0"/>
          <w:sz w:val="20"/>
          <w:szCs w:val="20"/>
        </w:rPr>
        <w:t xml:space="preserve">n legacy CPC/CPA, when the PSCell change or addition is completed, the UE releases the other CPC/CPA configurations. </w:t>
      </w:r>
      <w:r w:rsidR="00A02EE3">
        <w:rPr>
          <w:rFonts w:ascii="Arial" w:hAnsi="Arial"/>
          <w:kern w:val="0"/>
          <w:sz w:val="20"/>
          <w:szCs w:val="20"/>
        </w:rPr>
        <w:t>This works well basically, but in some scenarios the subsequent SCG change may happen soon after the prev</w:t>
      </w:r>
      <w:r w:rsidR="00B4635F">
        <w:rPr>
          <w:rFonts w:ascii="Arial" w:hAnsi="Arial"/>
          <w:kern w:val="0"/>
          <w:sz w:val="20"/>
          <w:szCs w:val="20"/>
        </w:rPr>
        <w:t>ious PSCell change or addition.</w:t>
      </w:r>
      <w:r w:rsidR="002A7B15">
        <w:rPr>
          <w:rFonts w:ascii="Arial" w:hAnsi="Arial"/>
          <w:kern w:val="0"/>
          <w:sz w:val="20"/>
          <w:szCs w:val="20"/>
        </w:rPr>
        <w:t xml:space="preserve"> We assume that the work is to allow the UE to keep the CPC/CPA configurations (more specifically candidate SCG configurations) even after the PSCell change or addition to </w:t>
      </w:r>
      <w:r w:rsidR="00CA5286" w:rsidRPr="00CA5286">
        <w:rPr>
          <w:rFonts w:ascii="Arial" w:hAnsi="Arial"/>
          <w:kern w:val="0"/>
          <w:sz w:val="20"/>
          <w:szCs w:val="20"/>
        </w:rPr>
        <w:t>enabl</w:t>
      </w:r>
      <w:r w:rsidR="002A7B15">
        <w:rPr>
          <w:rFonts w:ascii="Arial" w:hAnsi="Arial"/>
          <w:kern w:val="0"/>
          <w:sz w:val="20"/>
          <w:szCs w:val="20"/>
        </w:rPr>
        <w:t xml:space="preserve">e </w:t>
      </w:r>
      <w:r w:rsidR="00CA5286" w:rsidRPr="00CA5286">
        <w:rPr>
          <w:rFonts w:ascii="Arial" w:hAnsi="Arial"/>
          <w:kern w:val="0"/>
          <w:sz w:val="20"/>
          <w:szCs w:val="20"/>
        </w:rPr>
        <w:t>subsequent CPC/CPA without reconfiguration and re-initialization on the CPC/CP</w:t>
      </w:r>
      <w:r w:rsidR="002A7B15">
        <w:rPr>
          <w:rFonts w:ascii="Arial" w:hAnsi="Arial"/>
          <w:kern w:val="0"/>
          <w:sz w:val="20"/>
          <w:szCs w:val="20"/>
        </w:rPr>
        <w:t>A preparation from the network.</w:t>
      </w:r>
      <w:r w:rsidR="00E169E9">
        <w:rPr>
          <w:rFonts w:ascii="Arial" w:hAnsi="Arial"/>
          <w:kern w:val="0"/>
          <w:sz w:val="20"/>
          <w:szCs w:val="20"/>
        </w:rPr>
        <w:t xml:space="preserve"> </w:t>
      </w:r>
    </w:p>
    <w:p w:rsidR="003E16F6" w:rsidRDefault="00B72C1F" w:rsidP="003E16F6">
      <w:pPr>
        <w:widowControl/>
        <w:spacing w:after="120" w:line="240" w:lineRule="atLeast"/>
        <w:rPr>
          <w:rFonts w:ascii="Arial" w:hAnsi="Arial"/>
          <w:kern w:val="0"/>
          <w:sz w:val="20"/>
          <w:szCs w:val="20"/>
        </w:rPr>
      </w:pPr>
      <w:r>
        <w:rPr>
          <w:rFonts w:ascii="Arial" w:hAnsi="Arial"/>
          <w:kern w:val="0"/>
          <w:sz w:val="20"/>
          <w:szCs w:val="20"/>
        </w:rPr>
        <w:t>The figure 1 shows the conceptual illustration</w:t>
      </w:r>
      <w:r w:rsidR="00E169E9">
        <w:rPr>
          <w:rFonts w:ascii="Arial" w:hAnsi="Arial"/>
          <w:kern w:val="0"/>
          <w:sz w:val="20"/>
          <w:szCs w:val="20"/>
        </w:rPr>
        <w:t xml:space="preserve"> for CPC case</w:t>
      </w:r>
      <w:r w:rsidR="00511192">
        <w:rPr>
          <w:rFonts w:ascii="Arial" w:hAnsi="Arial"/>
          <w:kern w:val="0"/>
          <w:sz w:val="20"/>
          <w:szCs w:val="20"/>
        </w:rPr>
        <w:t>, where the candidate SN2</w:t>
      </w:r>
      <w:r w:rsidR="00946B33">
        <w:rPr>
          <w:rFonts w:ascii="Arial" w:hAnsi="Arial"/>
          <w:kern w:val="0"/>
          <w:sz w:val="20"/>
          <w:szCs w:val="20"/>
        </w:rPr>
        <w:t xml:space="preserve"> (more specifically</w:t>
      </w:r>
      <w:r w:rsidR="003A096A">
        <w:rPr>
          <w:rFonts w:ascii="Arial" w:hAnsi="Arial"/>
          <w:kern w:val="0"/>
          <w:sz w:val="20"/>
          <w:szCs w:val="20"/>
        </w:rPr>
        <w:t xml:space="preserve"> PSCell of SN2)</w:t>
      </w:r>
      <w:r w:rsidR="00511192">
        <w:rPr>
          <w:rFonts w:ascii="Arial" w:hAnsi="Arial"/>
          <w:kern w:val="0"/>
          <w:sz w:val="20"/>
          <w:szCs w:val="20"/>
        </w:rPr>
        <w:t xml:space="preserve"> is not selected at the first CPC execution but the UE keeps the CPC configurations for that. </w:t>
      </w:r>
      <w:r w:rsidR="008E7EF0">
        <w:rPr>
          <w:rFonts w:ascii="Arial" w:hAnsi="Arial"/>
          <w:kern w:val="0"/>
          <w:sz w:val="20"/>
          <w:szCs w:val="20"/>
        </w:rPr>
        <w:t xml:space="preserve">Later, the CPC </w:t>
      </w:r>
      <w:r w:rsidR="003A096A">
        <w:rPr>
          <w:rFonts w:ascii="Arial" w:hAnsi="Arial"/>
          <w:kern w:val="0"/>
          <w:sz w:val="20"/>
          <w:szCs w:val="20"/>
        </w:rPr>
        <w:t xml:space="preserve">(or SCG change) </w:t>
      </w:r>
      <w:r w:rsidR="008E7EF0">
        <w:rPr>
          <w:rFonts w:ascii="Arial" w:hAnsi="Arial"/>
          <w:kern w:val="0"/>
          <w:sz w:val="20"/>
          <w:szCs w:val="20"/>
        </w:rPr>
        <w:t>for the candidate SN2 is triggered and the UE reuse</w:t>
      </w:r>
      <w:r w:rsidR="00D120AE">
        <w:rPr>
          <w:rFonts w:ascii="Arial" w:hAnsi="Arial"/>
          <w:kern w:val="0"/>
          <w:sz w:val="20"/>
          <w:szCs w:val="20"/>
        </w:rPr>
        <w:t>s</w:t>
      </w:r>
      <w:r w:rsidR="008E7EF0">
        <w:rPr>
          <w:rFonts w:ascii="Arial" w:hAnsi="Arial"/>
          <w:kern w:val="0"/>
          <w:sz w:val="20"/>
          <w:szCs w:val="20"/>
        </w:rPr>
        <w:t xml:space="preserve"> the stored CPC configuration.</w:t>
      </w:r>
      <w:r w:rsidR="001461A8">
        <w:rPr>
          <w:rFonts w:ascii="Arial" w:hAnsi="Arial"/>
          <w:kern w:val="0"/>
          <w:sz w:val="20"/>
          <w:szCs w:val="20"/>
        </w:rPr>
        <w:t xml:space="preserve"> There are many issues to be solved in order to achieve this and those are discussed later</w:t>
      </w:r>
      <w:r w:rsidR="001C241F">
        <w:rPr>
          <w:rFonts w:ascii="Arial" w:hAnsi="Arial"/>
          <w:kern w:val="0"/>
          <w:sz w:val="20"/>
          <w:szCs w:val="20"/>
        </w:rPr>
        <w:t xml:space="preserve"> in section 2.2</w:t>
      </w:r>
      <w:r w:rsidR="001461A8">
        <w:rPr>
          <w:rFonts w:ascii="Arial" w:hAnsi="Arial"/>
          <w:kern w:val="0"/>
          <w:sz w:val="20"/>
          <w:szCs w:val="20"/>
        </w:rPr>
        <w:t>.</w:t>
      </w:r>
    </w:p>
    <w:p w:rsidR="000A0EAF" w:rsidRDefault="000A0EAF" w:rsidP="003E16F6">
      <w:pPr>
        <w:widowControl/>
        <w:spacing w:after="120" w:line="240" w:lineRule="atLeast"/>
        <w:rPr>
          <w:rFonts w:ascii="Arial" w:hAnsi="Arial"/>
          <w:kern w:val="0"/>
          <w:sz w:val="20"/>
          <w:szCs w:val="20"/>
        </w:rPr>
      </w:pPr>
      <w:r>
        <w:rPr>
          <w:rFonts w:ascii="Arial" w:hAnsi="Arial"/>
          <w:kern w:val="0"/>
          <w:sz w:val="20"/>
          <w:szCs w:val="20"/>
        </w:rPr>
        <w:t xml:space="preserve">On the other hand, the CPA case may need some clarifications. It is obvious that at the time of CPA preparation, there is no (source) SCG and thus all the CPA configurations are preparation for new SCG </w:t>
      </w:r>
      <w:r w:rsidR="000977C3">
        <w:rPr>
          <w:rFonts w:ascii="Arial" w:hAnsi="Arial"/>
          <w:kern w:val="0"/>
          <w:sz w:val="20"/>
          <w:szCs w:val="20"/>
        </w:rPr>
        <w:t>addition</w:t>
      </w:r>
      <w:r>
        <w:rPr>
          <w:rFonts w:ascii="Arial" w:hAnsi="Arial"/>
          <w:kern w:val="0"/>
          <w:sz w:val="20"/>
          <w:szCs w:val="20"/>
        </w:rPr>
        <w:t xml:space="preserve">. </w:t>
      </w:r>
      <w:r w:rsidR="009843F6">
        <w:rPr>
          <w:rFonts w:ascii="Arial" w:hAnsi="Arial"/>
          <w:kern w:val="0"/>
          <w:sz w:val="20"/>
          <w:szCs w:val="20"/>
        </w:rPr>
        <w:t xml:space="preserve">A question is </w:t>
      </w:r>
      <w:r>
        <w:rPr>
          <w:rFonts w:ascii="Arial" w:hAnsi="Arial"/>
          <w:kern w:val="0"/>
          <w:sz w:val="20"/>
          <w:szCs w:val="20"/>
        </w:rPr>
        <w:t>whether the CPA configuration can be reused for subsequent CPC</w:t>
      </w:r>
      <w:r w:rsidR="005B607D">
        <w:rPr>
          <w:rFonts w:ascii="Arial" w:hAnsi="Arial"/>
          <w:kern w:val="0"/>
          <w:sz w:val="20"/>
          <w:szCs w:val="20"/>
        </w:rPr>
        <w:t xml:space="preserve"> (or SCG change)</w:t>
      </w:r>
      <w:r w:rsidR="009843F6">
        <w:rPr>
          <w:rFonts w:ascii="Arial" w:hAnsi="Arial"/>
          <w:kern w:val="0"/>
          <w:sz w:val="20"/>
          <w:szCs w:val="20"/>
        </w:rPr>
        <w:t xml:space="preserve"> after the CPA</w:t>
      </w:r>
      <w:r w:rsidR="00A20736">
        <w:rPr>
          <w:rFonts w:ascii="Arial" w:hAnsi="Arial"/>
          <w:kern w:val="0"/>
          <w:sz w:val="20"/>
          <w:szCs w:val="20"/>
        </w:rPr>
        <w:t xml:space="preserve"> completion</w:t>
      </w:r>
      <w:r>
        <w:rPr>
          <w:rFonts w:ascii="Arial" w:hAnsi="Arial"/>
          <w:kern w:val="0"/>
          <w:sz w:val="20"/>
          <w:szCs w:val="20"/>
        </w:rPr>
        <w:t>.</w:t>
      </w:r>
      <w:r w:rsidR="003161CA">
        <w:rPr>
          <w:rFonts w:ascii="Arial" w:hAnsi="Arial"/>
          <w:kern w:val="0"/>
          <w:sz w:val="20"/>
          <w:szCs w:val="20"/>
        </w:rPr>
        <w:t xml:space="preserve"> Logically speaking, the CPA configurations include necessary information to achieve SCG change. It would be </w:t>
      </w:r>
      <w:r w:rsidR="00CA0EFA">
        <w:rPr>
          <w:rFonts w:ascii="Arial" w:hAnsi="Arial"/>
          <w:kern w:val="0"/>
          <w:sz w:val="20"/>
          <w:szCs w:val="20"/>
        </w:rPr>
        <w:t xml:space="preserve">good to confirm </w:t>
      </w:r>
      <w:r w:rsidR="0003626F">
        <w:rPr>
          <w:rFonts w:ascii="Arial" w:hAnsi="Arial"/>
          <w:kern w:val="0"/>
          <w:sz w:val="20"/>
          <w:szCs w:val="20"/>
        </w:rPr>
        <w:t xml:space="preserve">this scenario is also included </w:t>
      </w:r>
      <w:r w:rsidR="00B11E8F">
        <w:rPr>
          <w:rFonts w:ascii="Arial" w:hAnsi="Arial"/>
          <w:kern w:val="0"/>
          <w:sz w:val="20"/>
          <w:szCs w:val="20"/>
        </w:rPr>
        <w:t>in this work.</w:t>
      </w:r>
    </w:p>
    <w:p w:rsidR="00421F58" w:rsidRDefault="00421F58"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nother point is that in Rel-17 CPC/CPA, if the UE receives legacy PSCell change/addition indication from the </w:t>
      </w:r>
      <w:r w:rsidR="00F72DC1">
        <w:rPr>
          <w:rFonts w:ascii="Arial" w:hAnsi="Arial"/>
          <w:kern w:val="0"/>
          <w:sz w:val="20"/>
          <w:szCs w:val="20"/>
        </w:rPr>
        <w:t>network</w:t>
      </w:r>
      <w:r>
        <w:rPr>
          <w:rFonts w:ascii="Arial" w:hAnsi="Arial"/>
          <w:kern w:val="0"/>
          <w:sz w:val="20"/>
          <w:szCs w:val="20"/>
        </w:rPr>
        <w:t>, the UE performs the PSCell change/addition with releasing the CPC/CPA configuration. We consider the same enhancement can be applied for these cases as well.</w:t>
      </w:r>
    </w:p>
    <w:p w:rsidR="003E16F6" w:rsidRDefault="00C26BF1"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work on the following scenarios for selective CG activation:</w:t>
      </w:r>
    </w:p>
    <w:p w:rsidR="00C26BF1" w:rsidRPr="00C26BF1" w:rsidRDefault="00C26BF1" w:rsidP="00C26BF1">
      <w:pPr>
        <w:pStyle w:val="a9"/>
        <w:widowControl/>
        <w:numPr>
          <w:ilvl w:val="0"/>
          <w:numId w:val="7"/>
        </w:numPr>
        <w:spacing w:before="60" w:after="120" w:line="240" w:lineRule="atLeast"/>
        <w:ind w:leftChars="0"/>
        <w:rPr>
          <w:rFonts w:ascii="Arial" w:hAnsi="Arial"/>
          <w:b/>
          <w:kern w:val="0"/>
          <w:sz w:val="20"/>
          <w:szCs w:val="20"/>
        </w:rPr>
      </w:pPr>
      <w:r w:rsidRPr="00C26BF1">
        <w:rPr>
          <w:rFonts w:ascii="Arial" w:hAnsi="Arial"/>
          <w:b/>
          <w:kern w:val="0"/>
          <w:sz w:val="20"/>
          <w:szCs w:val="20"/>
        </w:rPr>
        <w:t xml:space="preserve">subsequent </w:t>
      </w:r>
      <w:r w:rsidRPr="00C26BF1">
        <w:rPr>
          <w:rFonts w:ascii="Arial" w:hAnsi="Arial" w:hint="eastAsia"/>
          <w:b/>
          <w:kern w:val="0"/>
          <w:sz w:val="20"/>
          <w:szCs w:val="20"/>
        </w:rPr>
        <w:t>S</w:t>
      </w:r>
      <w:r w:rsidRPr="00C26BF1">
        <w:rPr>
          <w:rFonts w:ascii="Arial" w:hAnsi="Arial"/>
          <w:b/>
          <w:kern w:val="0"/>
          <w:sz w:val="20"/>
          <w:szCs w:val="20"/>
        </w:rPr>
        <w:t>CG change after CPA</w:t>
      </w:r>
    </w:p>
    <w:p w:rsidR="00C26BF1" w:rsidRDefault="00C26BF1" w:rsidP="00C26BF1">
      <w:pPr>
        <w:pStyle w:val="a9"/>
        <w:widowControl/>
        <w:numPr>
          <w:ilvl w:val="0"/>
          <w:numId w:val="7"/>
        </w:numPr>
        <w:spacing w:before="60" w:after="120" w:line="240" w:lineRule="atLeast"/>
        <w:ind w:leftChars="0"/>
        <w:rPr>
          <w:rFonts w:ascii="Arial" w:hAnsi="Arial"/>
          <w:b/>
          <w:kern w:val="0"/>
          <w:sz w:val="20"/>
          <w:szCs w:val="20"/>
        </w:rPr>
      </w:pPr>
      <w:r w:rsidRPr="00C26BF1">
        <w:rPr>
          <w:rFonts w:ascii="Arial" w:hAnsi="Arial"/>
          <w:b/>
          <w:kern w:val="0"/>
          <w:sz w:val="20"/>
          <w:szCs w:val="20"/>
        </w:rPr>
        <w:t xml:space="preserve">subsequent </w:t>
      </w:r>
      <w:r w:rsidRPr="00C26BF1">
        <w:rPr>
          <w:rFonts w:ascii="Arial" w:hAnsi="Arial" w:hint="eastAsia"/>
          <w:b/>
          <w:kern w:val="0"/>
          <w:sz w:val="20"/>
          <w:szCs w:val="20"/>
        </w:rPr>
        <w:t>S</w:t>
      </w:r>
      <w:r w:rsidRPr="00C26BF1">
        <w:rPr>
          <w:rFonts w:ascii="Arial" w:hAnsi="Arial"/>
          <w:b/>
          <w:kern w:val="0"/>
          <w:sz w:val="20"/>
          <w:szCs w:val="20"/>
        </w:rPr>
        <w:t>CG change after CPC</w:t>
      </w:r>
    </w:p>
    <w:p w:rsidR="00B31D95" w:rsidRPr="00C26BF1" w:rsidRDefault="00B31D95" w:rsidP="00C26BF1">
      <w:pPr>
        <w:pStyle w:val="a9"/>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subsequent SCG change after normal</w:t>
      </w:r>
      <w:r w:rsidR="00770756">
        <w:rPr>
          <w:rFonts w:ascii="Arial" w:hAnsi="Arial"/>
          <w:b/>
          <w:kern w:val="0"/>
          <w:sz w:val="20"/>
          <w:szCs w:val="20"/>
        </w:rPr>
        <w:t>/legacy</w:t>
      </w:r>
      <w:r>
        <w:rPr>
          <w:rFonts w:ascii="Arial" w:hAnsi="Arial"/>
          <w:b/>
          <w:kern w:val="0"/>
          <w:sz w:val="20"/>
          <w:szCs w:val="20"/>
        </w:rPr>
        <w:t xml:space="preserve"> PSCell addition or change</w:t>
      </w:r>
    </w:p>
    <w:p w:rsidR="003E16F6" w:rsidRDefault="003E16F6" w:rsidP="003E16F6">
      <w:pPr>
        <w:widowControl/>
        <w:spacing w:after="120" w:line="240" w:lineRule="atLeast"/>
        <w:rPr>
          <w:rFonts w:ascii="Arial" w:hAnsi="Arial"/>
          <w:kern w:val="0"/>
          <w:sz w:val="20"/>
          <w:szCs w:val="20"/>
        </w:rPr>
      </w:pPr>
    </w:p>
    <w:p w:rsidR="00790505" w:rsidRDefault="00790505"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he objective includes a possibility that the selective CG activation is applied for MCG. However, it would be better to consider the SCG case first and then later discuss the MCG case.</w:t>
      </w:r>
    </w:p>
    <w:p w:rsidR="00790505" w:rsidRDefault="00790505" w:rsidP="003E16F6">
      <w:pPr>
        <w:widowControl/>
        <w:spacing w:after="120" w:line="240" w:lineRule="atLeast"/>
        <w:rPr>
          <w:rFonts w:ascii="Arial" w:hAnsi="Arial"/>
          <w:kern w:val="0"/>
          <w:sz w:val="20"/>
          <w:szCs w:val="20"/>
        </w:rPr>
      </w:pPr>
    </w:p>
    <w:p w:rsidR="00BE36FD" w:rsidRDefault="00235D17" w:rsidP="003E16F6">
      <w:pPr>
        <w:widowControl/>
        <w:spacing w:after="120" w:line="240" w:lineRule="atLeast"/>
        <w:rPr>
          <w:rFonts w:ascii="Arial" w:hAnsi="Arial"/>
          <w:kern w:val="0"/>
          <w:sz w:val="20"/>
          <w:szCs w:val="20"/>
        </w:rPr>
      </w:pPr>
      <w:r w:rsidRPr="00235D17">
        <w:rPr>
          <w:noProof/>
          <w:lang w:val="en-US"/>
        </w:rPr>
        <w:drawing>
          <wp:inline distT="0" distB="0" distL="0" distR="0" wp14:anchorId="1CB64C87" wp14:editId="318E16AB">
            <wp:extent cx="5771692" cy="265202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76496" cy="2654227"/>
                    </a:xfrm>
                    <a:prstGeom prst="rect">
                      <a:avLst/>
                    </a:prstGeom>
                  </pic:spPr>
                </pic:pic>
              </a:graphicData>
            </a:graphic>
          </wp:inline>
        </w:drawing>
      </w:r>
    </w:p>
    <w:p w:rsidR="00BE36FD" w:rsidRPr="00D95720" w:rsidRDefault="006B237B" w:rsidP="00D95720">
      <w:pPr>
        <w:widowControl/>
        <w:spacing w:after="120" w:line="240" w:lineRule="atLeast"/>
        <w:jc w:val="center"/>
        <w:rPr>
          <w:rFonts w:ascii="Arial" w:hAnsi="Arial"/>
          <w:b/>
          <w:kern w:val="0"/>
          <w:sz w:val="20"/>
          <w:szCs w:val="20"/>
        </w:rPr>
      </w:pPr>
      <w:r w:rsidRPr="00D95720">
        <w:rPr>
          <w:rFonts w:ascii="Arial" w:hAnsi="Arial"/>
          <w:b/>
          <w:kern w:val="0"/>
          <w:sz w:val="20"/>
          <w:szCs w:val="20"/>
        </w:rPr>
        <w:t>F</w:t>
      </w:r>
      <w:r w:rsidR="000D0F10">
        <w:rPr>
          <w:rFonts w:ascii="Arial" w:hAnsi="Arial"/>
          <w:b/>
          <w:kern w:val="0"/>
          <w:sz w:val="20"/>
          <w:szCs w:val="20"/>
        </w:rPr>
        <w:t xml:space="preserve">igure 1. Conceptual illustration </w:t>
      </w:r>
      <w:r w:rsidRPr="00D95720">
        <w:rPr>
          <w:rFonts w:ascii="Arial" w:hAnsi="Arial"/>
          <w:b/>
          <w:kern w:val="0"/>
          <w:sz w:val="20"/>
          <w:szCs w:val="20"/>
        </w:rPr>
        <w:t>of selective CG activation in CPC</w:t>
      </w:r>
    </w:p>
    <w:p w:rsidR="001C241F" w:rsidRDefault="001C241F" w:rsidP="001C241F">
      <w:pPr>
        <w:widowControl/>
        <w:spacing w:after="120" w:line="240" w:lineRule="atLeast"/>
        <w:rPr>
          <w:rFonts w:ascii="Arial" w:hAnsi="Arial"/>
          <w:kern w:val="0"/>
          <w:sz w:val="20"/>
          <w:szCs w:val="20"/>
        </w:rPr>
      </w:pPr>
    </w:p>
    <w:p w:rsidR="001C241F" w:rsidRPr="002C6C08" w:rsidRDefault="001C241F" w:rsidP="001C241F">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E235CD">
        <w:rPr>
          <w:rFonts w:ascii="Arial" w:hAnsi="Arial"/>
          <w:kern w:val="0"/>
          <w:sz w:val="28"/>
          <w:szCs w:val="20"/>
        </w:rPr>
        <w:t xml:space="preserve">High level issue on </w:t>
      </w:r>
      <w:r w:rsidR="00D41B09">
        <w:rPr>
          <w:rFonts w:ascii="Arial" w:hAnsi="Arial"/>
          <w:kern w:val="0"/>
          <w:sz w:val="28"/>
          <w:szCs w:val="20"/>
        </w:rPr>
        <w:t xml:space="preserve">selective </w:t>
      </w:r>
      <w:r w:rsidR="008C5051">
        <w:rPr>
          <w:rFonts w:ascii="Arial" w:hAnsi="Arial"/>
          <w:kern w:val="0"/>
          <w:sz w:val="28"/>
          <w:szCs w:val="20"/>
        </w:rPr>
        <w:t>S</w:t>
      </w:r>
      <w:r w:rsidR="00D41B09">
        <w:rPr>
          <w:rFonts w:ascii="Arial" w:hAnsi="Arial"/>
          <w:kern w:val="0"/>
          <w:sz w:val="28"/>
          <w:szCs w:val="20"/>
        </w:rPr>
        <w:t>CG activation</w:t>
      </w:r>
    </w:p>
    <w:p w:rsidR="00AB3F56" w:rsidRDefault="001C241F" w:rsidP="001C241F">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this is the first meeting to discuss the selective </w:t>
      </w:r>
      <w:r w:rsidR="004C4F8D">
        <w:rPr>
          <w:rFonts w:ascii="Arial" w:hAnsi="Arial"/>
          <w:kern w:val="0"/>
          <w:sz w:val="20"/>
          <w:szCs w:val="20"/>
        </w:rPr>
        <w:t>S</w:t>
      </w:r>
      <w:r>
        <w:rPr>
          <w:rFonts w:ascii="Arial" w:hAnsi="Arial"/>
          <w:kern w:val="0"/>
          <w:sz w:val="20"/>
          <w:szCs w:val="20"/>
        </w:rPr>
        <w:t xml:space="preserve">CG activation, it would be good to list </w:t>
      </w:r>
      <w:r w:rsidR="00A81044">
        <w:rPr>
          <w:rFonts w:ascii="Arial" w:hAnsi="Arial"/>
          <w:kern w:val="0"/>
          <w:sz w:val="20"/>
          <w:szCs w:val="20"/>
        </w:rPr>
        <w:t xml:space="preserve">potential </w:t>
      </w:r>
      <w:r>
        <w:rPr>
          <w:rFonts w:ascii="Arial" w:hAnsi="Arial"/>
          <w:kern w:val="0"/>
          <w:sz w:val="20"/>
          <w:szCs w:val="20"/>
        </w:rPr>
        <w:t>issues to be solved in this work.</w:t>
      </w:r>
      <w:r w:rsidR="00F15706">
        <w:rPr>
          <w:rFonts w:ascii="Arial" w:hAnsi="Arial"/>
          <w:kern w:val="0"/>
          <w:sz w:val="20"/>
          <w:szCs w:val="20"/>
        </w:rPr>
        <w:t xml:space="preserve"> </w:t>
      </w:r>
      <w:r w:rsidR="00A81044">
        <w:rPr>
          <w:rFonts w:ascii="Arial" w:hAnsi="Arial"/>
          <w:kern w:val="0"/>
          <w:sz w:val="20"/>
          <w:szCs w:val="20"/>
        </w:rPr>
        <w:t>Firstly, w</w:t>
      </w:r>
      <w:r w:rsidR="00F15706">
        <w:rPr>
          <w:rFonts w:ascii="Arial" w:hAnsi="Arial"/>
          <w:kern w:val="0"/>
          <w:sz w:val="20"/>
          <w:szCs w:val="20"/>
        </w:rPr>
        <w:t xml:space="preserve">e have identified the </w:t>
      </w:r>
      <w:r w:rsidR="00AB3F56">
        <w:rPr>
          <w:rFonts w:ascii="Arial" w:hAnsi="Arial"/>
          <w:kern w:val="0"/>
          <w:sz w:val="20"/>
          <w:szCs w:val="20"/>
        </w:rPr>
        <w:t xml:space="preserve">relatively high level </w:t>
      </w:r>
      <w:r w:rsidR="00F15706">
        <w:rPr>
          <w:rFonts w:ascii="Arial" w:hAnsi="Arial"/>
          <w:kern w:val="0"/>
          <w:sz w:val="20"/>
          <w:szCs w:val="20"/>
        </w:rPr>
        <w:t xml:space="preserve">issues </w:t>
      </w:r>
      <w:r w:rsidR="00A81044">
        <w:rPr>
          <w:rFonts w:ascii="Arial" w:hAnsi="Arial"/>
          <w:kern w:val="0"/>
          <w:sz w:val="20"/>
          <w:szCs w:val="20"/>
        </w:rPr>
        <w:t>below.</w:t>
      </w:r>
    </w:p>
    <w:p w:rsidR="00E235CD" w:rsidRDefault="001A62F5" w:rsidP="00D95720">
      <w:pPr>
        <w:pStyle w:val="a9"/>
        <w:widowControl/>
        <w:numPr>
          <w:ilvl w:val="0"/>
          <w:numId w:val="8"/>
        </w:numPr>
        <w:spacing w:after="120" w:line="240" w:lineRule="atLeast"/>
        <w:ind w:leftChars="0"/>
        <w:rPr>
          <w:rFonts w:ascii="Arial" w:hAnsi="Arial"/>
          <w:kern w:val="0"/>
          <w:sz w:val="20"/>
          <w:szCs w:val="20"/>
        </w:rPr>
      </w:pPr>
      <w:r>
        <w:rPr>
          <w:rFonts w:ascii="Arial" w:hAnsi="Arial" w:hint="eastAsia"/>
          <w:kern w:val="0"/>
          <w:sz w:val="20"/>
          <w:szCs w:val="20"/>
        </w:rPr>
        <w:t>W</w:t>
      </w:r>
      <w:r>
        <w:rPr>
          <w:rFonts w:ascii="Arial" w:hAnsi="Arial"/>
          <w:kern w:val="0"/>
          <w:sz w:val="20"/>
          <w:szCs w:val="20"/>
        </w:rPr>
        <w:t>hether both MN-initiated and SN-initiated CPC or only MN-initiated are applicable?</w:t>
      </w:r>
    </w:p>
    <w:p w:rsidR="001A62F5" w:rsidRDefault="00CE58E3" w:rsidP="00D95720">
      <w:pPr>
        <w:pStyle w:val="a9"/>
        <w:widowControl/>
        <w:numPr>
          <w:ilvl w:val="0"/>
          <w:numId w:val="8"/>
        </w:numPr>
        <w:spacing w:after="120" w:line="240" w:lineRule="atLeast"/>
        <w:ind w:leftChars="0"/>
        <w:rPr>
          <w:rFonts w:ascii="Arial" w:hAnsi="Arial"/>
          <w:kern w:val="0"/>
          <w:sz w:val="20"/>
          <w:szCs w:val="20"/>
        </w:rPr>
      </w:pPr>
      <w:r>
        <w:rPr>
          <w:rFonts w:ascii="Arial" w:hAnsi="Arial"/>
          <w:kern w:val="0"/>
          <w:sz w:val="20"/>
          <w:szCs w:val="20"/>
        </w:rPr>
        <w:t xml:space="preserve">How the </w:t>
      </w:r>
      <w:r w:rsidR="00B528C0">
        <w:rPr>
          <w:rFonts w:ascii="Arial" w:hAnsi="Arial"/>
          <w:kern w:val="0"/>
          <w:sz w:val="20"/>
          <w:szCs w:val="20"/>
        </w:rPr>
        <w:t>e</w:t>
      </w:r>
      <w:r w:rsidR="001A62F5" w:rsidRPr="001A62F5">
        <w:rPr>
          <w:rFonts w:ascii="Arial" w:hAnsi="Arial"/>
          <w:kern w:val="0"/>
          <w:sz w:val="20"/>
          <w:szCs w:val="20"/>
        </w:rPr>
        <w:t xml:space="preserve">xecution condition </w:t>
      </w:r>
      <w:r>
        <w:rPr>
          <w:rFonts w:ascii="Arial" w:hAnsi="Arial"/>
          <w:kern w:val="0"/>
          <w:sz w:val="20"/>
          <w:szCs w:val="20"/>
        </w:rPr>
        <w:t xml:space="preserve">is maintained (or configured) </w:t>
      </w:r>
      <w:r w:rsidR="001A62F5" w:rsidRPr="001A62F5">
        <w:rPr>
          <w:rFonts w:ascii="Arial" w:hAnsi="Arial"/>
          <w:kern w:val="0"/>
          <w:sz w:val="20"/>
          <w:szCs w:val="20"/>
        </w:rPr>
        <w:t xml:space="preserve">for subsequent </w:t>
      </w:r>
      <w:r w:rsidR="006374B0">
        <w:rPr>
          <w:rFonts w:ascii="Arial" w:hAnsi="Arial"/>
          <w:kern w:val="0"/>
          <w:sz w:val="20"/>
          <w:szCs w:val="20"/>
        </w:rPr>
        <w:t>CPC</w:t>
      </w:r>
      <w:r w:rsidR="00B528C0">
        <w:rPr>
          <w:rFonts w:ascii="Arial" w:hAnsi="Arial"/>
          <w:kern w:val="0"/>
          <w:sz w:val="20"/>
          <w:szCs w:val="20"/>
        </w:rPr>
        <w:t>?</w:t>
      </w:r>
    </w:p>
    <w:p w:rsidR="00D476CF" w:rsidRPr="00D95720" w:rsidRDefault="00B528C0" w:rsidP="00D95720">
      <w:pPr>
        <w:pStyle w:val="a9"/>
        <w:widowControl/>
        <w:numPr>
          <w:ilvl w:val="0"/>
          <w:numId w:val="8"/>
        </w:numPr>
        <w:spacing w:after="120" w:line="240" w:lineRule="atLeast"/>
        <w:ind w:leftChars="0"/>
        <w:rPr>
          <w:rFonts w:ascii="Arial" w:hAnsi="Arial"/>
          <w:kern w:val="0"/>
          <w:sz w:val="20"/>
          <w:szCs w:val="20"/>
        </w:rPr>
      </w:pPr>
      <w:r>
        <w:rPr>
          <w:rFonts w:ascii="Arial" w:hAnsi="Arial" w:hint="eastAsia"/>
          <w:kern w:val="0"/>
          <w:sz w:val="20"/>
          <w:szCs w:val="20"/>
        </w:rPr>
        <w:t>S</w:t>
      </w:r>
      <w:r>
        <w:rPr>
          <w:rFonts w:ascii="Arial" w:hAnsi="Arial"/>
          <w:kern w:val="0"/>
          <w:sz w:val="20"/>
          <w:szCs w:val="20"/>
        </w:rPr>
        <w:t xml:space="preserve">ource SCG configuration is also applicable for subsequent </w:t>
      </w:r>
      <w:r w:rsidR="006374B0">
        <w:rPr>
          <w:rFonts w:ascii="Arial" w:hAnsi="Arial"/>
          <w:kern w:val="0"/>
          <w:sz w:val="20"/>
          <w:szCs w:val="20"/>
        </w:rPr>
        <w:t>CPC</w:t>
      </w:r>
      <w:r>
        <w:rPr>
          <w:rFonts w:ascii="Arial" w:hAnsi="Arial"/>
          <w:kern w:val="0"/>
          <w:sz w:val="20"/>
          <w:szCs w:val="20"/>
        </w:rPr>
        <w:t>?</w:t>
      </w:r>
    </w:p>
    <w:p w:rsidR="00E235CD" w:rsidRDefault="00E235CD" w:rsidP="001C241F">
      <w:pPr>
        <w:widowControl/>
        <w:spacing w:after="120" w:line="240" w:lineRule="atLeast"/>
        <w:rPr>
          <w:rFonts w:ascii="Arial" w:hAnsi="Arial"/>
          <w:kern w:val="0"/>
          <w:sz w:val="20"/>
          <w:szCs w:val="20"/>
        </w:rPr>
      </w:pPr>
    </w:p>
    <w:p w:rsidR="002B4834" w:rsidRDefault="003958F7" w:rsidP="001C241F">
      <w:pPr>
        <w:widowControl/>
        <w:spacing w:after="120" w:line="240" w:lineRule="atLeast"/>
        <w:rPr>
          <w:rFonts w:ascii="Arial" w:hAnsi="Arial"/>
          <w:kern w:val="0"/>
          <w:sz w:val="20"/>
          <w:szCs w:val="20"/>
        </w:rPr>
      </w:pPr>
      <w:bookmarkStart w:id="1" w:name="_GoBack"/>
      <w:r>
        <w:rPr>
          <w:rFonts w:ascii="Arial" w:hAnsi="Arial"/>
          <w:kern w:val="0"/>
          <w:sz w:val="20"/>
          <w:szCs w:val="20"/>
        </w:rPr>
        <w:t xml:space="preserve">Considering that both MN and source SN can trigger the CPC, </w:t>
      </w:r>
      <w:r w:rsidR="003A6623">
        <w:rPr>
          <w:rFonts w:ascii="Arial" w:hAnsi="Arial"/>
          <w:kern w:val="0"/>
          <w:sz w:val="20"/>
          <w:szCs w:val="20"/>
        </w:rPr>
        <w:t xml:space="preserve">it can be expected that the selective SCG activation </w:t>
      </w:r>
      <w:r w:rsidR="00015A63">
        <w:rPr>
          <w:rFonts w:ascii="Arial" w:hAnsi="Arial"/>
          <w:kern w:val="0"/>
          <w:sz w:val="20"/>
          <w:szCs w:val="20"/>
        </w:rPr>
        <w:t xml:space="preserve">works </w:t>
      </w:r>
      <w:r w:rsidR="003A6623">
        <w:rPr>
          <w:rFonts w:ascii="Arial" w:hAnsi="Arial"/>
          <w:kern w:val="0"/>
          <w:sz w:val="20"/>
          <w:szCs w:val="20"/>
        </w:rPr>
        <w:t>on top of the MN-initiated CPC as well as the SN-initiated CPC. However, the</w:t>
      </w:r>
      <w:r w:rsidR="00015A63">
        <w:rPr>
          <w:rFonts w:ascii="Arial" w:hAnsi="Arial"/>
          <w:kern w:val="0"/>
          <w:sz w:val="20"/>
          <w:szCs w:val="20"/>
        </w:rPr>
        <w:t>re is one fundamental difference between them. In the MN-initiated CPC, the MN decides and configure</w:t>
      </w:r>
      <w:r w:rsidR="00F1487F">
        <w:rPr>
          <w:rFonts w:ascii="Arial" w:hAnsi="Arial"/>
          <w:kern w:val="0"/>
          <w:sz w:val="20"/>
          <w:szCs w:val="20"/>
        </w:rPr>
        <w:t>s</w:t>
      </w:r>
      <w:r w:rsidR="00015A63">
        <w:rPr>
          <w:rFonts w:ascii="Arial" w:hAnsi="Arial"/>
          <w:kern w:val="0"/>
          <w:sz w:val="20"/>
          <w:szCs w:val="20"/>
        </w:rPr>
        <w:t xml:space="preserve"> the execution condition, while in the SN-initiated CPC the source SN decides the execution condition and configures it via th</w:t>
      </w:r>
      <w:bookmarkEnd w:id="1"/>
      <w:r w:rsidR="00015A63">
        <w:rPr>
          <w:rFonts w:ascii="Arial" w:hAnsi="Arial"/>
          <w:kern w:val="0"/>
          <w:sz w:val="20"/>
          <w:szCs w:val="20"/>
        </w:rPr>
        <w:t xml:space="preserve">e MN. </w:t>
      </w:r>
      <w:r w:rsidR="002B4834">
        <w:rPr>
          <w:rFonts w:ascii="Arial" w:hAnsi="Arial"/>
          <w:kern w:val="0"/>
          <w:sz w:val="20"/>
          <w:szCs w:val="20"/>
        </w:rPr>
        <w:t xml:space="preserve">So, the subsequent CPC should be on top of execution condition based on new source </w:t>
      </w:r>
      <w:r w:rsidR="002B4834">
        <w:rPr>
          <w:rFonts w:ascii="Arial" w:hAnsi="Arial" w:hint="eastAsia"/>
          <w:kern w:val="0"/>
          <w:sz w:val="20"/>
          <w:szCs w:val="20"/>
        </w:rPr>
        <w:t>PSCell</w:t>
      </w:r>
      <w:r w:rsidR="002B4834">
        <w:rPr>
          <w:rFonts w:ascii="Arial" w:hAnsi="Arial"/>
          <w:kern w:val="0"/>
          <w:sz w:val="20"/>
          <w:szCs w:val="20"/>
        </w:rPr>
        <w:t xml:space="preserve"> (i.e. target PSCell in the first/previous CPC). </w:t>
      </w:r>
      <w:r w:rsidR="00CB3B57">
        <w:rPr>
          <w:rFonts w:ascii="Arial" w:hAnsi="Arial"/>
          <w:kern w:val="0"/>
          <w:sz w:val="20"/>
          <w:szCs w:val="20"/>
        </w:rPr>
        <w:t>This issue should be considered together with how to maintain or configure the execution condition for the subsequent SCG change.</w:t>
      </w:r>
    </w:p>
    <w:p w:rsidR="00825D4A" w:rsidRDefault="00825D4A" w:rsidP="00825D4A">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w:t>
      </w:r>
      <w:r>
        <w:rPr>
          <w:rFonts w:ascii="Arial" w:hAnsi="Arial"/>
          <w:b/>
          <w:kern w:val="0"/>
          <w:sz w:val="20"/>
          <w:szCs w:val="20"/>
        </w:rPr>
        <w:t xml:space="preserve"> RAN2 to discuss </w:t>
      </w:r>
      <w:r w:rsidR="00CB3B57">
        <w:rPr>
          <w:rFonts w:ascii="Arial" w:hAnsi="Arial"/>
          <w:b/>
          <w:kern w:val="0"/>
          <w:sz w:val="20"/>
          <w:szCs w:val="20"/>
        </w:rPr>
        <w:t xml:space="preserve">whether </w:t>
      </w:r>
      <w:r w:rsidR="00CB3B57" w:rsidRPr="00CB3B57">
        <w:rPr>
          <w:rFonts w:ascii="Arial" w:hAnsi="Arial"/>
          <w:b/>
          <w:kern w:val="0"/>
          <w:sz w:val="20"/>
          <w:szCs w:val="20"/>
        </w:rPr>
        <w:t>both MN-initiated and SN-initiated CPC or only MN-initiated are applicable</w:t>
      </w:r>
      <w:r w:rsidR="00CB3B57">
        <w:rPr>
          <w:rFonts w:ascii="Arial" w:hAnsi="Arial"/>
          <w:b/>
          <w:kern w:val="0"/>
          <w:sz w:val="20"/>
          <w:szCs w:val="20"/>
        </w:rPr>
        <w:t xml:space="preserve"> and also how the </w:t>
      </w:r>
      <w:r w:rsidR="00CB3B57" w:rsidRPr="00CB3B57">
        <w:rPr>
          <w:rFonts w:ascii="Arial" w:hAnsi="Arial"/>
          <w:b/>
          <w:kern w:val="0"/>
          <w:sz w:val="20"/>
          <w:szCs w:val="20"/>
        </w:rPr>
        <w:t>execution condition is maintained (or configured) for subsequent SCG change</w:t>
      </w:r>
      <w:r w:rsidR="00CB3B57">
        <w:rPr>
          <w:rFonts w:ascii="Arial" w:hAnsi="Arial"/>
          <w:b/>
          <w:kern w:val="0"/>
          <w:sz w:val="20"/>
          <w:szCs w:val="20"/>
        </w:rPr>
        <w:t>.</w:t>
      </w:r>
    </w:p>
    <w:p w:rsidR="00166096" w:rsidRDefault="00166096" w:rsidP="00166096">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w:t>
      </w:r>
      <w:r>
        <w:rPr>
          <w:rFonts w:ascii="Arial" w:hAnsi="Arial"/>
          <w:b/>
          <w:kern w:val="0"/>
          <w:sz w:val="20"/>
          <w:szCs w:val="20"/>
        </w:rPr>
        <w:t xml:space="preserve"> If both MN-initiated and SN-initiated CPC are applicable, RAN2 to start from MN-initiated CPC case and then also consider SN-initiated CPC case</w:t>
      </w:r>
      <w:r w:rsidR="001929B5">
        <w:rPr>
          <w:rFonts w:ascii="Arial" w:hAnsi="Arial"/>
          <w:b/>
          <w:kern w:val="0"/>
          <w:sz w:val="20"/>
          <w:szCs w:val="20"/>
        </w:rPr>
        <w:t xml:space="preserve"> later</w:t>
      </w:r>
      <w:r>
        <w:rPr>
          <w:rFonts w:ascii="Arial" w:hAnsi="Arial"/>
          <w:b/>
          <w:kern w:val="0"/>
          <w:sz w:val="20"/>
          <w:szCs w:val="20"/>
        </w:rPr>
        <w:t>.</w:t>
      </w:r>
    </w:p>
    <w:p w:rsidR="001C241F" w:rsidRDefault="001C241F" w:rsidP="003E16F6">
      <w:pPr>
        <w:widowControl/>
        <w:spacing w:after="120" w:line="240" w:lineRule="atLeast"/>
        <w:rPr>
          <w:rFonts w:ascii="Arial" w:hAnsi="Arial"/>
          <w:kern w:val="0"/>
          <w:sz w:val="20"/>
          <w:szCs w:val="20"/>
        </w:rPr>
      </w:pPr>
    </w:p>
    <w:p w:rsidR="000A356D" w:rsidRDefault="000A356D" w:rsidP="003E16F6">
      <w:pPr>
        <w:widowControl/>
        <w:spacing w:after="120" w:line="240" w:lineRule="atLeast"/>
        <w:rPr>
          <w:rFonts w:ascii="Arial" w:hAnsi="Arial"/>
          <w:kern w:val="0"/>
          <w:sz w:val="20"/>
          <w:szCs w:val="20"/>
        </w:rPr>
      </w:pPr>
      <w:r>
        <w:rPr>
          <w:rFonts w:ascii="Arial" w:hAnsi="Arial"/>
          <w:kern w:val="0"/>
          <w:sz w:val="20"/>
          <w:szCs w:val="20"/>
        </w:rPr>
        <w:t xml:space="preserve">One </w:t>
      </w:r>
      <w:r w:rsidR="00AD172D">
        <w:rPr>
          <w:rFonts w:ascii="Arial" w:hAnsi="Arial"/>
          <w:kern w:val="0"/>
          <w:sz w:val="20"/>
          <w:szCs w:val="20"/>
        </w:rPr>
        <w:t xml:space="preserve">additional </w:t>
      </w:r>
      <w:r>
        <w:rPr>
          <w:rFonts w:ascii="Arial" w:hAnsi="Arial"/>
          <w:kern w:val="0"/>
          <w:sz w:val="20"/>
          <w:szCs w:val="20"/>
        </w:rPr>
        <w:t>question is whether the source SCG configuration can be also kept or not after SCG change.</w:t>
      </w:r>
      <w:r w:rsidR="00193BED">
        <w:rPr>
          <w:rFonts w:ascii="Arial" w:hAnsi="Arial"/>
          <w:kern w:val="0"/>
          <w:sz w:val="20"/>
          <w:szCs w:val="20"/>
        </w:rPr>
        <w:t xml:space="preserve"> For example, after SCG change, the source SCG may be candidate in</w:t>
      </w:r>
      <w:r w:rsidR="00B41006">
        <w:rPr>
          <w:rFonts w:ascii="Arial" w:hAnsi="Arial"/>
          <w:kern w:val="0"/>
          <w:sz w:val="20"/>
          <w:szCs w:val="20"/>
        </w:rPr>
        <w:t xml:space="preserve"> subsequent SCG change. One difference from other candidate SCGs is that there is no execution condition has been configured for the source SCG. To add it, RRC reconfiguration is necessary from the network.</w:t>
      </w:r>
      <w:r w:rsidR="00914412">
        <w:rPr>
          <w:rFonts w:ascii="Arial" w:hAnsi="Arial"/>
          <w:kern w:val="0"/>
          <w:sz w:val="20"/>
          <w:szCs w:val="20"/>
        </w:rPr>
        <w:t xml:space="preserve"> However, this may or may not be the big issue compared to the expected gain. It would be worth discussing this aspect as well.</w:t>
      </w:r>
    </w:p>
    <w:p w:rsidR="000A356D" w:rsidRDefault="000A356D" w:rsidP="00914412">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825D4A">
        <w:rPr>
          <w:rFonts w:ascii="Arial" w:hAnsi="Arial"/>
          <w:b/>
          <w:kern w:val="0"/>
          <w:sz w:val="20"/>
          <w:szCs w:val="20"/>
        </w:rPr>
        <w:t>3</w:t>
      </w:r>
      <w:r w:rsidR="00914412">
        <w:rPr>
          <w:rFonts w:ascii="Arial" w:hAnsi="Arial" w:hint="eastAsia"/>
          <w:b/>
          <w:kern w:val="0"/>
          <w:sz w:val="20"/>
          <w:szCs w:val="20"/>
        </w:rPr>
        <w:t>:</w:t>
      </w:r>
      <w:r w:rsidR="00914412">
        <w:rPr>
          <w:rFonts w:ascii="Arial" w:hAnsi="Arial"/>
          <w:b/>
          <w:kern w:val="0"/>
          <w:sz w:val="20"/>
          <w:szCs w:val="20"/>
        </w:rPr>
        <w:t xml:space="preserve"> RAN2 to discuss whether source SCG configuration can be kept after SCG change to reuse it in subsequent SCG changes.</w:t>
      </w:r>
    </w:p>
    <w:p w:rsidR="001461A8" w:rsidRPr="002C6C08" w:rsidRDefault="001461A8"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6D675B">
        <w:rPr>
          <w:rFonts w:ascii="Arial" w:eastAsia="Arial Unicode MS" w:hAnsi="Arial"/>
          <w:kern w:val="0"/>
          <w:sz w:val="20"/>
          <w:szCs w:val="20"/>
        </w:rPr>
        <w:t>potential scenarios and expected overview of selective activation of CGs. Then, we reached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6D675B" w:rsidRDefault="006D675B" w:rsidP="006D675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work on the following scenarios for selective CG activation:</w:t>
      </w:r>
    </w:p>
    <w:p w:rsidR="006D675B" w:rsidRPr="00C26BF1" w:rsidRDefault="006D675B" w:rsidP="006D675B">
      <w:pPr>
        <w:pStyle w:val="a9"/>
        <w:widowControl/>
        <w:numPr>
          <w:ilvl w:val="0"/>
          <w:numId w:val="7"/>
        </w:numPr>
        <w:spacing w:before="60" w:after="120" w:line="240" w:lineRule="atLeast"/>
        <w:ind w:leftChars="0"/>
        <w:rPr>
          <w:rFonts w:ascii="Arial" w:hAnsi="Arial"/>
          <w:b/>
          <w:kern w:val="0"/>
          <w:sz w:val="20"/>
          <w:szCs w:val="20"/>
        </w:rPr>
      </w:pPr>
      <w:r w:rsidRPr="00C26BF1">
        <w:rPr>
          <w:rFonts w:ascii="Arial" w:hAnsi="Arial"/>
          <w:b/>
          <w:kern w:val="0"/>
          <w:sz w:val="20"/>
          <w:szCs w:val="20"/>
        </w:rPr>
        <w:t xml:space="preserve">subsequent </w:t>
      </w:r>
      <w:r w:rsidRPr="00C26BF1">
        <w:rPr>
          <w:rFonts w:ascii="Arial" w:hAnsi="Arial" w:hint="eastAsia"/>
          <w:b/>
          <w:kern w:val="0"/>
          <w:sz w:val="20"/>
          <w:szCs w:val="20"/>
        </w:rPr>
        <w:t>S</w:t>
      </w:r>
      <w:r w:rsidRPr="00C26BF1">
        <w:rPr>
          <w:rFonts w:ascii="Arial" w:hAnsi="Arial"/>
          <w:b/>
          <w:kern w:val="0"/>
          <w:sz w:val="20"/>
          <w:szCs w:val="20"/>
        </w:rPr>
        <w:t>CG change after CPA</w:t>
      </w:r>
    </w:p>
    <w:p w:rsidR="006D675B" w:rsidRDefault="006D675B" w:rsidP="006D675B">
      <w:pPr>
        <w:pStyle w:val="a9"/>
        <w:widowControl/>
        <w:numPr>
          <w:ilvl w:val="0"/>
          <w:numId w:val="7"/>
        </w:numPr>
        <w:spacing w:before="60" w:after="120" w:line="240" w:lineRule="atLeast"/>
        <w:ind w:leftChars="0"/>
        <w:rPr>
          <w:rFonts w:ascii="Arial" w:hAnsi="Arial"/>
          <w:b/>
          <w:kern w:val="0"/>
          <w:sz w:val="20"/>
          <w:szCs w:val="20"/>
        </w:rPr>
      </w:pPr>
      <w:r w:rsidRPr="00C26BF1">
        <w:rPr>
          <w:rFonts w:ascii="Arial" w:hAnsi="Arial"/>
          <w:b/>
          <w:kern w:val="0"/>
          <w:sz w:val="20"/>
          <w:szCs w:val="20"/>
        </w:rPr>
        <w:t xml:space="preserve">subsequent </w:t>
      </w:r>
      <w:r w:rsidRPr="00C26BF1">
        <w:rPr>
          <w:rFonts w:ascii="Arial" w:hAnsi="Arial" w:hint="eastAsia"/>
          <w:b/>
          <w:kern w:val="0"/>
          <w:sz w:val="20"/>
          <w:szCs w:val="20"/>
        </w:rPr>
        <w:t>S</w:t>
      </w:r>
      <w:r w:rsidRPr="00C26BF1">
        <w:rPr>
          <w:rFonts w:ascii="Arial" w:hAnsi="Arial"/>
          <w:b/>
          <w:kern w:val="0"/>
          <w:sz w:val="20"/>
          <w:szCs w:val="20"/>
        </w:rPr>
        <w:t>CG change after CPC</w:t>
      </w:r>
    </w:p>
    <w:p w:rsidR="007600CF" w:rsidRPr="007600CF" w:rsidRDefault="007600CF">
      <w:pPr>
        <w:pStyle w:val="a9"/>
        <w:widowControl/>
        <w:numPr>
          <w:ilvl w:val="0"/>
          <w:numId w:val="7"/>
        </w:numPr>
        <w:spacing w:before="60" w:after="120" w:line="240" w:lineRule="atLeast"/>
        <w:ind w:leftChars="0"/>
        <w:rPr>
          <w:rFonts w:ascii="Arial" w:hAnsi="Arial"/>
          <w:b/>
          <w:kern w:val="0"/>
          <w:sz w:val="20"/>
          <w:szCs w:val="20"/>
        </w:rPr>
      </w:pPr>
      <w:r w:rsidRPr="007600CF">
        <w:rPr>
          <w:rFonts w:ascii="Arial" w:hAnsi="Arial"/>
          <w:b/>
          <w:kern w:val="0"/>
          <w:sz w:val="20"/>
          <w:szCs w:val="20"/>
        </w:rPr>
        <w:t>subsequent SCG change after normal</w:t>
      </w:r>
      <w:r w:rsidR="00770756">
        <w:rPr>
          <w:rFonts w:ascii="Arial" w:hAnsi="Arial"/>
          <w:b/>
          <w:kern w:val="0"/>
          <w:sz w:val="20"/>
          <w:szCs w:val="20"/>
        </w:rPr>
        <w:t>/legacy</w:t>
      </w:r>
      <w:r w:rsidRPr="007600CF">
        <w:rPr>
          <w:rFonts w:ascii="Arial" w:hAnsi="Arial"/>
          <w:b/>
          <w:kern w:val="0"/>
          <w:sz w:val="20"/>
          <w:szCs w:val="20"/>
        </w:rPr>
        <w:t xml:space="preserve"> PSCell addition or change</w:t>
      </w:r>
    </w:p>
    <w:p w:rsidR="003E16F6" w:rsidRDefault="006D675B" w:rsidP="00D9572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w:t>
      </w:r>
      <w:r>
        <w:rPr>
          <w:rFonts w:ascii="Arial" w:hAnsi="Arial"/>
          <w:b/>
          <w:kern w:val="0"/>
          <w:sz w:val="20"/>
          <w:szCs w:val="20"/>
        </w:rPr>
        <w:t xml:space="preserve"> RAN2 to discuss whether </w:t>
      </w:r>
      <w:r w:rsidRPr="00CB3B57">
        <w:rPr>
          <w:rFonts w:ascii="Arial" w:hAnsi="Arial"/>
          <w:b/>
          <w:kern w:val="0"/>
          <w:sz w:val="20"/>
          <w:szCs w:val="20"/>
        </w:rPr>
        <w:t>both MN-initiated and SN-initiated CPC or only MN-initiated are applicable</w:t>
      </w:r>
      <w:r>
        <w:rPr>
          <w:rFonts w:ascii="Arial" w:hAnsi="Arial"/>
          <w:b/>
          <w:kern w:val="0"/>
          <w:sz w:val="20"/>
          <w:szCs w:val="20"/>
        </w:rPr>
        <w:t xml:space="preserve"> and also how the </w:t>
      </w:r>
      <w:r w:rsidRPr="00CB3B57">
        <w:rPr>
          <w:rFonts w:ascii="Arial" w:hAnsi="Arial"/>
          <w:b/>
          <w:kern w:val="0"/>
          <w:sz w:val="20"/>
          <w:szCs w:val="20"/>
        </w:rPr>
        <w:t>execution condition is maintained (or configured) for subsequent SCG change</w:t>
      </w:r>
      <w:r>
        <w:rPr>
          <w:rFonts w:ascii="Arial" w:hAnsi="Arial"/>
          <w:b/>
          <w:kern w:val="0"/>
          <w:sz w:val="20"/>
          <w:szCs w:val="20"/>
        </w:rPr>
        <w:t>.</w:t>
      </w:r>
    </w:p>
    <w:p w:rsidR="007600CF" w:rsidRPr="002C6C08" w:rsidRDefault="007600CF" w:rsidP="00D9572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w:t>
      </w:r>
      <w:r>
        <w:rPr>
          <w:rFonts w:ascii="Arial" w:hAnsi="Arial"/>
          <w:b/>
          <w:kern w:val="0"/>
          <w:sz w:val="20"/>
          <w:szCs w:val="20"/>
        </w:rPr>
        <w:t xml:space="preserve"> If both MN-initiated and SN-initiated CPC are applicable, RAN2 to start from MN-initiated CPC case and then also consider SN-initiated CPC case later.</w:t>
      </w:r>
    </w:p>
    <w:p w:rsidR="006D675B" w:rsidRDefault="006D675B" w:rsidP="006D675B">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w:t>
      </w:r>
      <w:r>
        <w:rPr>
          <w:rFonts w:ascii="Arial" w:hAnsi="Arial"/>
          <w:b/>
          <w:kern w:val="0"/>
          <w:sz w:val="20"/>
          <w:szCs w:val="20"/>
        </w:rPr>
        <w:t xml:space="preserve"> RAN2 to discuss whether source SCG configuration can be kept after SCG change to reuse it in subsequent SCG changes.</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D6696D" w:rsidRPr="002C6C08" w:rsidRDefault="00D6696D" w:rsidP="00D6696D">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Pr="00E37CDB">
        <w:rPr>
          <w:rFonts w:ascii="Arial" w:eastAsia="Arial Unicode MS" w:hAnsi="Arial"/>
          <w:kern w:val="0"/>
          <w:sz w:val="20"/>
          <w:szCs w:val="20"/>
        </w:rPr>
        <w:t>RP-221799</w:t>
      </w:r>
      <w:r>
        <w:rPr>
          <w:rFonts w:ascii="Arial" w:eastAsia="Arial Unicode MS" w:hAnsi="Arial"/>
          <w:kern w:val="0"/>
          <w:sz w:val="20"/>
          <w:szCs w:val="20"/>
        </w:rPr>
        <w:t>, “</w:t>
      </w:r>
      <w:r w:rsidRPr="00E37CDB">
        <w:rPr>
          <w:rFonts w:ascii="Arial" w:eastAsia="Arial Unicode MS" w:hAnsi="Arial"/>
          <w:kern w:val="0"/>
          <w:sz w:val="20"/>
          <w:szCs w:val="20"/>
        </w:rPr>
        <w:t>Further NR Mobility Enhancements</w:t>
      </w:r>
      <w:r>
        <w:rPr>
          <w:rFonts w:ascii="Arial" w:eastAsia="Arial Unicode MS" w:hAnsi="Arial"/>
          <w:kern w:val="0"/>
          <w:sz w:val="20"/>
          <w:szCs w:val="20"/>
        </w:rPr>
        <w:t>” (WID)</w:t>
      </w:r>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D58" w:rsidRDefault="00BB1D58" w:rsidP="005F4664">
      <w:r>
        <w:separator/>
      </w:r>
    </w:p>
  </w:endnote>
  <w:endnote w:type="continuationSeparator" w:id="0">
    <w:p w:rsidR="00BB1D58" w:rsidRDefault="00BB1D5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PMingLiU">
    <w:altName w:val="Microsoft JhengHei"/>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D58" w:rsidRDefault="00BB1D58" w:rsidP="005F4664">
      <w:r>
        <w:separator/>
      </w:r>
    </w:p>
  </w:footnote>
  <w:footnote w:type="continuationSeparator" w:id="0">
    <w:p w:rsidR="00BB1D58" w:rsidRDefault="00BB1D5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401520B2"/>
    <w:multiLevelType w:val="hybridMultilevel"/>
    <w:tmpl w:val="29AAADD0"/>
    <w:lvl w:ilvl="0" w:tplc="ACF6C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1C403C4"/>
    <w:multiLevelType w:val="hybridMultilevel"/>
    <w:tmpl w:val="1A302994"/>
    <w:lvl w:ilvl="0" w:tplc="41C0B278">
      <w:start w:val="2"/>
      <w:numFmt w:val="decimal"/>
      <w:lvlText w:val="%1."/>
      <w:lvlJc w:val="left"/>
      <w:pPr>
        <w:ind w:left="720" w:hanging="360"/>
      </w:pPr>
      <w:rPr>
        <w:rFonts w:hint="eastAsia"/>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B9A358A"/>
    <w:multiLevelType w:val="hybridMultilevel"/>
    <w:tmpl w:val="5B2C3E7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5A63"/>
    <w:rsid w:val="000221F4"/>
    <w:rsid w:val="0003626F"/>
    <w:rsid w:val="00044ABA"/>
    <w:rsid w:val="00050D6B"/>
    <w:rsid w:val="00062BAC"/>
    <w:rsid w:val="000643FF"/>
    <w:rsid w:val="00080B51"/>
    <w:rsid w:val="000977C3"/>
    <w:rsid w:val="000A024E"/>
    <w:rsid w:val="000A0EAF"/>
    <w:rsid w:val="000A356D"/>
    <w:rsid w:val="000A57E5"/>
    <w:rsid w:val="000D0F10"/>
    <w:rsid w:val="00124DC3"/>
    <w:rsid w:val="001310F8"/>
    <w:rsid w:val="0013559B"/>
    <w:rsid w:val="001461A8"/>
    <w:rsid w:val="001504D8"/>
    <w:rsid w:val="00166096"/>
    <w:rsid w:val="001929B5"/>
    <w:rsid w:val="00193BED"/>
    <w:rsid w:val="001A62F5"/>
    <w:rsid w:val="001C1521"/>
    <w:rsid w:val="001C241F"/>
    <w:rsid w:val="001D6661"/>
    <w:rsid w:val="00235D17"/>
    <w:rsid w:val="00243904"/>
    <w:rsid w:val="002817AB"/>
    <w:rsid w:val="0028555E"/>
    <w:rsid w:val="00297E8B"/>
    <w:rsid w:val="002A7B15"/>
    <w:rsid w:val="002A7B1A"/>
    <w:rsid w:val="002B1203"/>
    <w:rsid w:val="002B4834"/>
    <w:rsid w:val="002C28F5"/>
    <w:rsid w:val="002C66F6"/>
    <w:rsid w:val="002E4305"/>
    <w:rsid w:val="002F1A6C"/>
    <w:rsid w:val="002F7C77"/>
    <w:rsid w:val="003161CA"/>
    <w:rsid w:val="0032555F"/>
    <w:rsid w:val="00334616"/>
    <w:rsid w:val="00391CBE"/>
    <w:rsid w:val="003958F7"/>
    <w:rsid w:val="003A096A"/>
    <w:rsid w:val="003A6623"/>
    <w:rsid w:val="003C391C"/>
    <w:rsid w:val="003E16F6"/>
    <w:rsid w:val="00415BDD"/>
    <w:rsid w:val="004176CC"/>
    <w:rsid w:val="00421F58"/>
    <w:rsid w:val="004324A6"/>
    <w:rsid w:val="004425E6"/>
    <w:rsid w:val="00442A63"/>
    <w:rsid w:val="00470B0B"/>
    <w:rsid w:val="00473A34"/>
    <w:rsid w:val="00485574"/>
    <w:rsid w:val="004C4F8D"/>
    <w:rsid w:val="004D0B78"/>
    <w:rsid w:val="004D2EE1"/>
    <w:rsid w:val="004F0F43"/>
    <w:rsid w:val="004F172D"/>
    <w:rsid w:val="004F6BB1"/>
    <w:rsid w:val="0050025E"/>
    <w:rsid w:val="00511192"/>
    <w:rsid w:val="005169FA"/>
    <w:rsid w:val="005B607D"/>
    <w:rsid w:val="005F3B5F"/>
    <w:rsid w:val="005F4664"/>
    <w:rsid w:val="006010B7"/>
    <w:rsid w:val="00602FEA"/>
    <w:rsid w:val="00612804"/>
    <w:rsid w:val="00616E28"/>
    <w:rsid w:val="006374B0"/>
    <w:rsid w:val="00670478"/>
    <w:rsid w:val="006736E7"/>
    <w:rsid w:val="00697F60"/>
    <w:rsid w:val="006B237B"/>
    <w:rsid w:val="006B2E48"/>
    <w:rsid w:val="006D675B"/>
    <w:rsid w:val="006E11E6"/>
    <w:rsid w:val="006E2147"/>
    <w:rsid w:val="006E393C"/>
    <w:rsid w:val="006F1C23"/>
    <w:rsid w:val="0070342E"/>
    <w:rsid w:val="00716C59"/>
    <w:rsid w:val="00717247"/>
    <w:rsid w:val="00722E61"/>
    <w:rsid w:val="007600CF"/>
    <w:rsid w:val="00760B8B"/>
    <w:rsid w:val="00770756"/>
    <w:rsid w:val="00790505"/>
    <w:rsid w:val="007B4FAF"/>
    <w:rsid w:val="007C0139"/>
    <w:rsid w:val="007C0F96"/>
    <w:rsid w:val="007E39CA"/>
    <w:rsid w:val="007E77A0"/>
    <w:rsid w:val="0081391D"/>
    <w:rsid w:val="00824222"/>
    <w:rsid w:val="00825D4A"/>
    <w:rsid w:val="00864F81"/>
    <w:rsid w:val="00871C12"/>
    <w:rsid w:val="008A53A6"/>
    <w:rsid w:val="008C428C"/>
    <w:rsid w:val="008C5051"/>
    <w:rsid w:val="008D4832"/>
    <w:rsid w:val="008D7675"/>
    <w:rsid w:val="008E7EF0"/>
    <w:rsid w:val="008F2CD3"/>
    <w:rsid w:val="00905F23"/>
    <w:rsid w:val="0091091A"/>
    <w:rsid w:val="00914412"/>
    <w:rsid w:val="00946B33"/>
    <w:rsid w:val="009668AF"/>
    <w:rsid w:val="009843F6"/>
    <w:rsid w:val="00984861"/>
    <w:rsid w:val="009977A1"/>
    <w:rsid w:val="009A406E"/>
    <w:rsid w:val="009F6B76"/>
    <w:rsid w:val="00A02EE3"/>
    <w:rsid w:val="00A13A4F"/>
    <w:rsid w:val="00A20736"/>
    <w:rsid w:val="00A81044"/>
    <w:rsid w:val="00AA2B16"/>
    <w:rsid w:val="00AB3F56"/>
    <w:rsid w:val="00AD172D"/>
    <w:rsid w:val="00AE077E"/>
    <w:rsid w:val="00B11E8F"/>
    <w:rsid w:val="00B26B13"/>
    <w:rsid w:val="00B31D95"/>
    <w:rsid w:val="00B41006"/>
    <w:rsid w:val="00B4635F"/>
    <w:rsid w:val="00B528C0"/>
    <w:rsid w:val="00B609F2"/>
    <w:rsid w:val="00B72C1F"/>
    <w:rsid w:val="00B85297"/>
    <w:rsid w:val="00B93C26"/>
    <w:rsid w:val="00B9710E"/>
    <w:rsid w:val="00BB1D58"/>
    <w:rsid w:val="00BE36FD"/>
    <w:rsid w:val="00BF06BC"/>
    <w:rsid w:val="00C0670F"/>
    <w:rsid w:val="00C1546D"/>
    <w:rsid w:val="00C226E6"/>
    <w:rsid w:val="00C26BF1"/>
    <w:rsid w:val="00C548B5"/>
    <w:rsid w:val="00C85558"/>
    <w:rsid w:val="00CA0EFA"/>
    <w:rsid w:val="00CA5286"/>
    <w:rsid w:val="00CB3B57"/>
    <w:rsid w:val="00CE58E3"/>
    <w:rsid w:val="00D120AE"/>
    <w:rsid w:val="00D15591"/>
    <w:rsid w:val="00D30D83"/>
    <w:rsid w:val="00D31D23"/>
    <w:rsid w:val="00D41B09"/>
    <w:rsid w:val="00D476CF"/>
    <w:rsid w:val="00D6696D"/>
    <w:rsid w:val="00D723C1"/>
    <w:rsid w:val="00D80CE3"/>
    <w:rsid w:val="00D85981"/>
    <w:rsid w:val="00D87C7D"/>
    <w:rsid w:val="00D95720"/>
    <w:rsid w:val="00DD2595"/>
    <w:rsid w:val="00E169E9"/>
    <w:rsid w:val="00E235CD"/>
    <w:rsid w:val="00E32A9C"/>
    <w:rsid w:val="00E56CD7"/>
    <w:rsid w:val="00E73B86"/>
    <w:rsid w:val="00E7709C"/>
    <w:rsid w:val="00E864B6"/>
    <w:rsid w:val="00E937B3"/>
    <w:rsid w:val="00EA2016"/>
    <w:rsid w:val="00EA6B68"/>
    <w:rsid w:val="00EB0333"/>
    <w:rsid w:val="00ED399C"/>
    <w:rsid w:val="00EE5E68"/>
    <w:rsid w:val="00EF1D5E"/>
    <w:rsid w:val="00F1487F"/>
    <w:rsid w:val="00F15706"/>
    <w:rsid w:val="00F72DC1"/>
    <w:rsid w:val="00F83DC7"/>
    <w:rsid w:val="00FA3970"/>
    <w:rsid w:val="00FA558A"/>
    <w:rsid w:val="00FB23A1"/>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135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26B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143380">
      <w:bodyDiv w:val="1"/>
      <w:marLeft w:val="0"/>
      <w:marRight w:val="0"/>
      <w:marTop w:val="0"/>
      <w:marBottom w:val="0"/>
      <w:divBdr>
        <w:top w:val="none" w:sz="0" w:space="0" w:color="auto"/>
        <w:left w:val="none" w:sz="0" w:space="0" w:color="auto"/>
        <w:bottom w:val="none" w:sz="0" w:space="0" w:color="auto"/>
        <w:right w:val="none" w:sz="0" w:space="0" w:color="auto"/>
      </w:divBdr>
    </w:div>
    <w:div w:id="569342050">
      <w:bodyDiv w:val="1"/>
      <w:marLeft w:val="0"/>
      <w:marRight w:val="0"/>
      <w:marTop w:val="0"/>
      <w:marBottom w:val="0"/>
      <w:divBdr>
        <w:top w:val="none" w:sz="0" w:space="0" w:color="auto"/>
        <w:left w:val="none" w:sz="0" w:space="0" w:color="auto"/>
        <w:bottom w:val="none" w:sz="0" w:space="0" w:color="auto"/>
        <w:right w:val="none" w:sz="0" w:space="0" w:color="auto"/>
      </w:divBdr>
    </w:div>
    <w:div w:id="778833801">
      <w:bodyDiv w:val="1"/>
      <w:marLeft w:val="0"/>
      <w:marRight w:val="0"/>
      <w:marTop w:val="0"/>
      <w:marBottom w:val="0"/>
      <w:divBdr>
        <w:top w:val="none" w:sz="0" w:space="0" w:color="auto"/>
        <w:left w:val="none" w:sz="0" w:space="0" w:color="auto"/>
        <w:bottom w:val="none" w:sz="0" w:space="0" w:color="auto"/>
        <w:right w:val="none" w:sz="0" w:space="0" w:color="auto"/>
      </w:divBdr>
    </w:div>
    <w:div w:id="1113864619">
      <w:bodyDiv w:val="1"/>
      <w:marLeft w:val="0"/>
      <w:marRight w:val="0"/>
      <w:marTop w:val="0"/>
      <w:marBottom w:val="0"/>
      <w:divBdr>
        <w:top w:val="none" w:sz="0" w:space="0" w:color="auto"/>
        <w:left w:val="none" w:sz="0" w:space="0" w:color="auto"/>
        <w:bottom w:val="none" w:sz="0" w:space="0" w:color="auto"/>
        <w:right w:val="none" w:sz="0" w:space="0" w:color="auto"/>
      </w:divBdr>
    </w:div>
    <w:div w:id="187361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611</TotalTime>
  <Pages>3</Pages>
  <Words>956</Words>
  <Characters>5454</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157</cp:revision>
  <dcterms:created xsi:type="dcterms:W3CDTF">2019-04-30T06:30:00Z</dcterms:created>
  <dcterms:modified xsi:type="dcterms:W3CDTF">2022-08-10T04:39:00Z</dcterms:modified>
</cp:coreProperties>
</file>